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B63" w:rsidRDefault="00DF4B63" w:rsidP="00DF4B63">
      <w:pPr>
        <w:jc w:val="center"/>
        <w:rPr>
          <w:rFonts w:cs="Arial"/>
          <w:b/>
          <w:szCs w:val="21"/>
        </w:rPr>
      </w:pPr>
      <w:bookmarkStart w:id="0" w:name="loai_1"/>
      <w:r w:rsidRPr="009C7BF5">
        <w:rPr>
          <w:rFonts w:cs="Arial"/>
          <w:b/>
          <w:bCs/>
          <w:color w:val="000000"/>
          <w:szCs w:val="21"/>
        </w:rPr>
        <w:t xml:space="preserve">Luật </w:t>
      </w:r>
      <w:r w:rsidRPr="009C7BF5">
        <w:rPr>
          <w:rFonts w:cs="Arial"/>
          <w:b/>
          <w:szCs w:val="21"/>
        </w:rPr>
        <w:t>36/2005/QH11 về Thương mại</w:t>
      </w:r>
      <w:r w:rsidR="00AA7D54">
        <w:rPr>
          <w:rFonts w:cs="Arial"/>
          <w:b/>
          <w:szCs w:val="21"/>
        </w:rPr>
        <w:t xml:space="preserve"> (Nhượng quyền)</w:t>
      </w:r>
    </w:p>
    <w:p w:rsidR="00DF4B63" w:rsidRPr="000D26E8" w:rsidRDefault="00DF4B63" w:rsidP="00DF4B63">
      <w:pPr>
        <w:pStyle w:val="Heading3"/>
        <w:spacing w:before="120" w:after="0" w:line="264" w:lineRule="auto"/>
        <w:rPr>
          <w:rFonts w:ascii="Times New Roman" w:hAnsi="Times New Roman"/>
          <w:sz w:val="25"/>
        </w:rPr>
      </w:pPr>
      <w:bookmarkStart w:id="1" w:name="dieu_284"/>
      <w:bookmarkStart w:id="2" w:name="_Toc71533365"/>
      <w:bookmarkStart w:id="3" w:name="_Toc72054563"/>
      <w:bookmarkStart w:id="4" w:name="_Toc98406756"/>
      <w:bookmarkStart w:id="5" w:name="_Toc160529403"/>
      <w:bookmarkEnd w:id="0"/>
      <w:r w:rsidRPr="000D26E8">
        <w:rPr>
          <w:rFonts w:ascii="Times New Roman" w:hAnsi="Times New Roman"/>
          <w:sz w:val="25"/>
        </w:rPr>
        <w:t>Điều 284.</w:t>
      </w:r>
      <w:bookmarkEnd w:id="1"/>
      <w:r w:rsidRPr="000D26E8">
        <w:rPr>
          <w:rFonts w:ascii="Times New Roman" w:hAnsi="Times New Roman"/>
          <w:sz w:val="25"/>
        </w:rPr>
        <w:t xml:space="preserve"> </w:t>
      </w:r>
      <w:bookmarkStart w:id="6" w:name="dieu_284_name"/>
      <w:r w:rsidRPr="000D26E8">
        <w:rPr>
          <w:rFonts w:ascii="Times New Roman" w:hAnsi="Times New Roman"/>
          <w:sz w:val="25"/>
        </w:rPr>
        <w:t>Nhượng quyền thương mại</w:t>
      </w:r>
      <w:bookmarkEnd w:id="2"/>
      <w:bookmarkEnd w:id="3"/>
      <w:bookmarkEnd w:id="4"/>
      <w:bookmarkEnd w:id="5"/>
      <w:bookmarkEnd w:id="6"/>
    </w:p>
    <w:p w:rsidR="00DF4B63" w:rsidRPr="000D26E8" w:rsidRDefault="00DF4B63" w:rsidP="00DF4B63">
      <w:pPr>
        <w:rPr>
          <w:rFonts w:cs="Arial"/>
          <w:szCs w:val="21"/>
        </w:rPr>
      </w:pPr>
      <w:r w:rsidRPr="000D26E8">
        <w:rPr>
          <w:rFonts w:cs="Arial"/>
          <w:color w:val="000000"/>
          <w:szCs w:val="21"/>
        </w:rPr>
        <w:t>Nhượng quyền thương mại là hoạt động thương mại, theo đó bên nhượng quyền cho phép và yêu cầu bên nhận quyền tự mình tiến hành việc mua bán hàng hoá, cung ứng dịch vụ theo các điều kiện sau đây:</w:t>
      </w:r>
    </w:p>
    <w:p w:rsidR="00DF4B63" w:rsidRPr="000D26E8" w:rsidRDefault="00DF4B63" w:rsidP="00DF4B63">
      <w:pPr>
        <w:rPr>
          <w:rFonts w:cs="Arial"/>
          <w:szCs w:val="21"/>
        </w:rPr>
      </w:pPr>
      <w:r w:rsidRPr="000D26E8">
        <w:rPr>
          <w:rFonts w:cs="Arial"/>
          <w:color w:val="000000"/>
          <w:szCs w:val="21"/>
        </w:rPr>
        <w:t>1. Việc mua bán hàng hoá, cung ứng dịch vụ được tiến hành theo cách thức tổ chức kinh doanh do bên nhượng quyền quy định và được gắn với nhãn hiệu hàng hoá, tên thương mại, bí quyết kinh doanh, khẩu hiệu kinh doanh, biểu tượng kinh doanh, quảng cáo của bên nhượng quyền;</w:t>
      </w:r>
    </w:p>
    <w:p w:rsidR="00DF4B63" w:rsidRPr="000D26E8" w:rsidRDefault="00DF4B63" w:rsidP="00DF4B63">
      <w:pPr>
        <w:rPr>
          <w:rFonts w:cs="Arial"/>
          <w:szCs w:val="21"/>
        </w:rPr>
      </w:pPr>
      <w:r w:rsidRPr="000D26E8">
        <w:rPr>
          <w:rFonts w:cs="Arial"/>
          <w:color w:val="000000"/>
          <w:szCs w:val="21"/>
        </w:rPr>
        <w:t>2. Bên nhượng quyền có quyền kiểm soát và trợ giúp cho bên nhận quyền trong việc điều hành công việc kinh doanh.</w:t>
      </w:r>
    </w:p>
    <w:p w:rsidR="00DF4B63" w:rsidRPr="000D26E8" w:rsidRDefault="00DF4B63" w:rsidP="00DF4B63">
      <w:pPr>
        <w:pStyle w:val="Heading3"/>
        <w:spacing w:before="120" w:after="0" w:line="264" w:lineRule="auto"/>
        <w:rPr>
          <w:rFonts w:ascii="Times New Roman" w:hAnsi="Times New Roman"/>
          <w:sz w:val="25"/>
        </w:rPr>
      </w:pPr>
      <w:bookmarkStart w:id="7" w:name="dieu_285"/>
      <w:bookmarkStart w:id="8" w:name="_Toc71533366"/>
      <w:bookmarkStart w:id="9" w:name="_Toc72054564"/>
      <w:bookmarkStart w:id="10" w:name="_Toc98406757"/>
      <w:bookmarkStart w:id="11" w:name="_Toc160529404"/>
      <w:r w:rsidRPr="000D26E8">
        <w:rPr>
          <w:rFonts w:ascii="Times New Roman" w:hAnsi="Times New Roman"/>
          <w:sz w:val="25"/>
        </w:rPr>
        <w:t>Điều 285.</w:t>
      </w:r>
      <w:bookmarkEnd w:id="7"/>
      <w:r w:rsidRPr="000D26E8">
        <w:rPr>
          <w:rFonts w:ascii="Times New Roman" w:hAnsi="Times New Roman"/>
          <w:sz w:val="25"/>
        </w:rPr>
        <w:t xml:space="preserve"> </w:t>
      </w:r>
      <w:bookmarkStart w:id="12" w:name="dieu_285_name"/>
      <w:r w:rsidRPr="000D26E8">
        <w:rPr>
          <w:rFonts w:ascii="Times New Roman" w:hAnsi="Times New Roman"/>
          <w:sz w:val="25"/>
        </w:rPr>
        <w:t>Hợp đồng nhượng quyền thương mại</w:t>
      </w:r>
      <w:bookmarkEnd w:id="8"/>
      <w:bookmarkEnd w:id="9"/>
      <w:bookmarkEnd w:id="10"/>
      <w:bookmarkEnd w:id="11"/>
      <w:bookmarkEnd w:id="12"/>
    </w:p>
    <w:p w:rsidR="00DF4B63" w:rsidRPr="000D26E8" w:rsidRDefault="00DF4B63" w:rsidP="00DF4B63">
      <w:pPr>
        <w:rPr>
          <w:rFonts w:cs="Arial"/>
          <w:szCs w:val="21"/>
        </w:rPr>
      </w:pPr>
      <w:r w:rsidRPr="000D26E8">
        <w:rPr>
          <w:rFonts w:cs="Arial"/>
          <w:color w:val="000000"/>
          <w:szCs w:val="21"/>
        </w:rPr>
        <w:t>Hợp đồng nhượng quyền thương mại phải được lập thành văn bản hoặc bằng hình thức khác có giá trị pháp lý tương đương.</w:t>
      </w:r>
    </w:p>
    <w:p w:rsidR="00DF4B63" w:rsidRPr="000D26E8" w:rsidRDefault="00DF4B63" w:rsidP="00DF4B63">
      <w:pPr>
        <w:pStyle w:val="Heading3"/>
        <w:spacing w:before="120" w:after="0" w:line="264" w:lineRule="auto"/>
        <w:rPr>
          <w:rFonts w:ascii="Times New Roman" w:hAnsi="Times New Roman"/>
          <w:sz w:val="25"/>
        </w:rPr>
      </w:pPr>
      <w:bookmarkStart w:id="13" w:name="dieu_286"/>
      <w:bookmarkStart w:id="14" w:name="_Toc71533367"/>
      <w:bookmarkStart w:id="15" w:name="_Toc72054565"/>
      <w:bookmarkStart w:id="16" w:name="_Toc98406758"/>
      <w:bookmarkStart w:id="17" w:name="_Toc160529405"/>
      <w:r w:rsidRPr="000D26E8">
        <w:rPr>
          <w:rFonts w:ascii="Times New Roman" w:hAnsi="Times New Roman"/>
          <w:sz w:val="25"/>
        </w:rPr>
        <w:t>Điều 286.</w:t>
      </w:r>
      <w:bookmarkEnd w:id="13"/>
      <w:r w:rsidRPr="000D26E8">
        <w:rPr>
          <w:rFonts w:ascii="Times New Roman" w:hAnsi="Times New Roman"/>
          <w:sz w:val="25"/>
        </w:rPr>
        <w:t xml:space="preserve"> </w:t>
      </w:r>
      <w:bookmarkStart w:id="18" w:name="dieu_286_name"/>
      <w:r w:rsidRPr="000D26E8">
        <w:rPr>
          <w:rFonts w:ascii="Times New Roman" w:hAnsi="Times New Roman"/>
          <w:sz w:val="25"/>
        </w:rPr>
        <w:t>Quyền của thương nhân nhượng quyền</w:t>
      </w:r>
      <w:bookmarkEnd w:id="14"/>
      <w:bookmarkEnd w:id="15"/>
      <w:bookmarkEnd w:id="16"/>
      <w:bookmarkEnd w:id="17"/>
      <w:bookmarkEnd w:id="18"/>
    </w:p>
    <w:p w:rsidR="00DF4B63" w:rsidRPr="000D26E8" w:rsidRDefault="00DF4B63" w:rsidP="00DF4B63">
      <w:pPr>
        <w:rPr>
          <w:rFonts w:cs="Arial"/>
          <w:szCs w:val="21"/>
        </w:rPr>
      </w:pPr>
      <w:r w:rsidRPr="000D26E8">
        <w:rPr>
          <w:rFonts w:cs="Arial"/>
          <w:color w:val="000000"/>
          <w:szCs w:val="21"/>
        </w:rPr>
        <w:t>Trừ trường hợp có thỏa thuận khác, thương nhân nhượng quyền có các quyền sau đây:</w:t>
      </w:r>
    </w:p>
    <w:p w:rsidR="00DF4B63" w:rsidRPr="000D26E8" w:rsidRDefault="00DF4B63" w:rsidP="00DF4B63">
      <w:pPr>
        <w:rPr>
          <w:rFonts w:cs="Arial"/>
          <w:szCs w:val="21"/>
        </w:rPr>
      </w:pPr>
      <w:r w:rsidRPr="000D26E8">
        <w:rPr>
          <w:rFonts w:cs="Arial"/>
          <w:color w:val="000000"/>
          <w:szCs w:val="21"/>
        </w:rPr>
        <w:t>1. Nhận tiền nhượng quyền;</w:t>
      </w:r>
    </w:p>
    <w:p w:rsidR="00DF4B63" w:rsidRPr="000D26E8" w:rsidRDefault="00DF4B63" w:rsidP="00DF4B63">
      <w:pPr>
        <w:rPr>
          <w:rFonts w:cs="Arial"/>
          <w:szCs w:val="21"/>
        </w:rPr>
      </w:pPr>
      <w:r w:rsidRPr="000D26E8">
        <w:rPr>
          <w:rFonts w:cs="Arial"/>
          <w:color w:val="000000"/>
          <w:szCs w:val="21"/>
        </w:rPr>
        <w:t>2. Tổ chức quảng cáo cho hệ thống nhượng quyền thương mại và mạng lưới nhượng quyền thương mại;</w:t>
      </w:r>
    </w:p>
    <w:p w:rsidR="00DF4B63" w:rsidRPr="000D26E8" w:rsidRDefault="00DF4B63" w:rsidP="00DF4B63">
      <w:pPr>
        <w:rPr>
          <w:rFonts w:cs="Arial"/>
          <w:szCs w:val="21"/>
        </w:rPr>
      </w:pPr>
      <w:r w:rsidRPr="000D26E8">
        <w:rPr>
          <w:rFonts w:cs="Arial"/>
          <w:color w:val="000000"/>
          <w:szCs w:val="21"/>
        </w:rPr>
        <w:t>3. Kiểm tra định kỳ hoặc đột xuất hoạt động của bên nhận quyền nhằm bảo đảm sự thống nhất của hệ thống nhượng quyền thương mại và sự ổn định về chất lượng hàng hoá, dịch vụ.</w:t>
      </w:r>
    </w:p>
    <w:p w:rsidR="00DF4B63" w:rsidRPr="000D26E8" w:rsidRDefault="00DF4B63" w:rsidP="00DF4B63">
      <w:pPr>
        <w:pStyle w:val="Heading3"/>
        <w:spacing w:before="120" w:after="0" w:line="264" w:lineRule="auto"/>
        <w:rPr>
          <w:rFonts w:ascii="Times New Roman" w:hAnsi="Times New Roman"/>
          <w:sz w:val="25"/>
        </w:rPr>
      </w:pPr>
      <w:bookmarkStart w:id="19" w:name="dieu_287"/>
      <w:bookmarkStart w:id="20" w:name="_Toc71533368"/>
      <w:bookmarkStart w:id="21" w:name="_Toc72054566"/>
      <w:bookmarkStart w:id="22" w:name="_Toc98406759"/>
      <w:bookmarkStart w:id="23" w:name="_Toc160529406"/>
      <w:r w:rsidRPr="000D26E8">
        <w:rPr>
          <w:rFonts w:ascii="Times New Roman" w:hAnsi="Times New Roman"/>
          <w:sz w:val="25"/>
        </w:rPr>
        <w:t>Điều 287.</w:t>
      </w:r>
      <w:bookmarkEnd w:id="19"/>
      <w:r w:rsidRPr="000D26E8">
        <w:rPr>
          <w:rFonts w:ascii="Times New Roman" w:hAnsi="Times New Roman"/>
          <w:sz w:val="25"/>
        </w:rPr>
        <w:t xml:space="preserve"> </w:t>
      </w:r>
      <w:bookmarkStart w:id="24" w:name="dieu_287_name"/>
      <w:r w:rsidRPr="000D26E8">
        <w:rPr>
          <w:rFonts w:ascii="Times New Roman" w:hAnsi="Times New Roman"/>
          <w:sz w:val="25"/>
        </w:rPr>
        <w:t>Nghĩa vụ của thương nhân nhượng quyền</w:t>
      </w:r>
      <w:bookmarkEnd w:id="20"/>
      <w:bookmarkEnd w:id="21"/>
      <w:bookmarkEnd w:id="22"/>
      <w:bookmarkEnd w:id="23"/>
      <w:bookmarkEnd w:id="24"/>
    </w:p>
    <w:p w:rsidR="00DF4B63" w:rsidRPr="000D26E8" w:rsidRDefault="00DF4B63" w:rsidP="00DF4B63">
      <w:pPr>
        <w:rPr>
          <w:rFonts w:cs="Arial"/>
          <w:szCs w:val="21"/>
        </w:rPr>
      </w:pPr>
      <w:r w:rsidRPr="000D26E8">
        <w:rPr>
          <w:rFonts w:cs="Arial"/>
          <w:color w:val="000000"/>
          <w:szCs w:val="21"/>
        </w:rPr>
        <w:t>Trừ trường hợp có thỏa thuận khác, thương nhân nhượng quyền có các nghĩa vụ sau đây:</w:t>
      </w:r>
    </w:p>
    <w:p w:rsidR="00DF4B63" w:rsidRPr="000D26E8" w:rsidRDefault="00DF4B63" w:rsidP="00DF4B63">
      <w:pPr>
        <w:rPr>
          <w:rFonts w:cs="Arial"/>
          <w:szCs w:val="21"/>
        </w:rPr>
      </w:pPr>
      <w:r w:rsidRPr="000D26E8">
        <w:rPr>
          <w:rFonts w:cs="Arial"/>
          <w:color w:val="000000"/>
          <w:szCs w:val="21"/>
        </w:rPr>
        <w:t>1. Cung cấp tài liệu hướng dẫn về hệ thống nhượng quyền thương mại cho bên nhận quyền;</w:t>
      </w:r>
    </w:p>
    <w:p w:rsidR="00DF4B63" w:rsidRPr="000D26E8" w:rsidRDefault="00DF4B63" w:rsidP="00DF4B63">
      <w:pPr>
        <w:rPr>
          <w:rFonts w:cs="Arial"/>
          <w:szCs w:val="21"/>
        </w:rPr>
      </w:pPr>
      <w:r w:rsidRPr="000D26E8">
        <w:rPr>
          <w:rFonts w:cs="Arial"/>
          <w:color w:val="000000"/>
          <w:szCs w:val="21"/>
        </w:rPr>
        <w:t>2. Đào tạo ban đầu và cung cấp trợ giúp kỹ thuật thường xuyên cho thương nhân nhận quyền để điều hành hoạt động theo đúng hệ thống nhượng quyền thương mại;</w:t>
      </w:r>
    </w:p>
    <w:p w:rsidR="00DF4B63" w:rsidRPr="000D26E8" w:rsidRDefault="00DF4B63" w:rsidP="00DF4B63">
      <w:pPr>
        <w:rPr>
          <w:rFonts w:cs="Arial"/>
          <w:szCs w:val="21"/>
        </w:rPr>
      </w:pPr>
      <w:r w:rsidRPr="000D26E8">
        <w:rPr>
          <w:rFonts w:cs="Arial"/>
          <w:color w:val="000000"/>
          <w:szCs w:val="21"/>
        </w:rPr>
        <w:t>3. Thiết kế và sắp xếp địa điểm bán hàng, cung ứng dịch vụ bằng chi phí của thương nhân nhận quyền;</w:t>
      </w:r>
    </w:p>
    <w:p w:rsidR="00DF4B63" w:rsidRPr="000D26E8" w:rsidRDefault="00DF4B63" w:rsidP="00DF4B63">
      <w:pPr>
        <w:rPr>
          <w:rFonts w:cs="Arial"/>
          <w:szCs w:val="21"/>
        </w:rPr>
      </w:pPr>
      <w:r w:rsidRPr="000D26E8">
        <w:rPr>
          <w:rFonts w:cs="Arial"/>
          <w:color w:val="000000"/>
          <w:szCs w:val="21"/>
        </w:rPr>
        <w:t>4. Bảo đảm quyền sở hữu trí tuệ đối với đối tượng được ghi trong hợp đồng nhượng quyền;</w:t>
      </w:r>
    </w:p>
    <w:p w:rsidR="00DF4B63" w:rsidRPr="000D26E8" w:rsidRDefault="00DF4B63" w:rsidP="00DF4B63">
      <w:pPr>
        <w:rPr>
          <w:rFonts w:cs="Arial"/>
          <w:szCs w:val="21"/>
        </w:rPr>
      </w:pPr>
      <w:r w:rsidRPr="000D26E8">
        <w:rPr>
          <w:rFonts w:cs="Arial"/>
          <w:color w:val="000000"/>
          <w:szCs w:val="21"/>
        </w:rPr>
        <w:t>5. Đối xử bình đẳng với các thương nhân nhận quyền trong hệ thống nhượng quyền thương mại.</w:t>
      </w:r>
    </w:p>
    <w:p w:rsidR="00DF4B63" w:rsidRPr="000D26E8" w:rsidRDefault="00DF4B63" w:rsidP="00DF4B63">
      <w:pPr>
        <w:pStyle w:val="Heading3"/>
        <w:spacing w:before="120" w:after="0" w:line="264" w:lineRule="auto"/>
        <w:rPr>
          <w:rFonts w:ascii="Times New Roman" w:hAnsi="Times New Roman"/>
          <w:sz w:val="25"/>
        </w:rPr>
      </w:pPr>
      <w:bookmarkStart w:id="25" w:name="dieu_288"/>
      <w:bookmarkStart w:id="26" w:name="_Toc71533369"/>
      <w:bookmarkStart w:id="27" w:name="_Toc72054567"/>
      <w:bookmarkStart w:id="28" w:name="_Toc98406760"/>
      <w:bookmarkStart w:id="29" w:name="_Toc160529407"/>
      <w:r w:rsidRPr="000D26E8">
        <w:rPr>
          <w:rFonts w:ascii="Times New Roman" w:hAnsi="Times New Roman"/>
          <w:sz w:val="25"/>
        </w:rPr>
        <w:t>Điều 288.</w:t>
      </w:r>
      <w:bookmarkEnd w:id="25"/>
      <w:r w:rsidRPr="000D26E8">
        <w:rPr>
          <w:rFonts w:ascii="Times New Roman" w:hAnsi="Times New Roman"/>
          <w:sz w:val="25"/>
        </w:rPr>
        <w:t xml:space="preserve"> </w:t>
      </w:r>
      <w:bookmarkStart w:id="30" w:name="dieu_288_name"/>
      <w:r w:rsidRPr="000D26E8">
        <w:rPr>
          <w:rFonts w:ascii="Times New Roman" w:hAnsi="Times New Roman"/>
          <w:sz w:val="25"/>
        </w:rPr>
        <w:t>Quyền của thương nhân nhận quyền</w:t>
      </w:r>
      <w:bookmarkEnd w:id="26"/>
      <w:bookmarkEnd w:id="27"/>
      <w:bookmarkEnd w:id="28"/>
      <w:bookmarkEnd w:id="29"/>
      <w:bookmarkEnd w:id="30"/>
    </w:p>
    <w:p w:rsidR="00DF4B63" w:rsidRPr="000D26E8" w:rsidRDefault="00DF4B63" w:rsidP="00DF4B63">
      <w:pPr>
        <w:rPr>
          <w:rFonts w:cs="Arial"/>
          <w:szCs w:val="21"/>
        </w:rPr>
      </w:pPr>
      <w:r w:rsidRPr="000D26E8">
        <w:rPr>
          <w:rFonts w:cs="Arial"/>
          <w:color w:val="000000"/>
          <w:szCs w:val="21"/>
        </w:rPr>
        <w:t>Trừ trường hợp có thỏa thuận khác, thương nhân nhận quyền có các quyền sau đây:</w:t>
      </w:r>
    </w:p>
    <w:p w:rsidR="00DF4B63" w:rsidRPr="000D26E8" w:rsidRDefault="00DF4B63" w:rsidP="00DF4B63">
      <w:pPr>
        <w:rPr>
          <w:rFonts w:cs="Arial"/>
          <w:szCs w:val="21"/>
        </w:rPr>
      </w:pPr>
      <w:r w:rsidRPr="000D26E8">
        <w:rPr>
          <w:rFonts w:cs="Arial"/>
          <w:color w:val="000000"/>
          <w:szCs w:val="21"/>
        </w:rPr>
        <w:t>1. Yêu cầu thương nhân nhượng quyền cung cấp đầy đủ trợ giúp kỹ thuật có liên quan đến hệ thống nhượng quyền thương mại;</w:t>
      </w:r>
    </w:p>
    <w:p w:rsidR="00DF4B63" w:rsidRPr="000D26E8" w:rsidRDefault="00DF4B63" w:rsidP="00DF4B63">
      <w:pPr>
        <w:rPr>
          <w:rFonts w:cs="Arial"/>
          <w:szCs w:val="21"/>
        </w:rPr>
      </w:pPr>
      <w:r w:rsidRPr="000D26E8">
        <w:rPr>
          <w:rFonts w:cs="Arial"/>
          <w:color w:val="000000"/>
          <w:szCs w:val="21"/>
        </w:rPr>
        <w:t>2. Yêu cầu thương nhân nhượng quyền đối xử bình đẳng với các thương nhân nhận quyền khác trong hệ thống nhượng quyền thương mại.</w:t>
      </w:r>
    </w:p>
    <w:p w:rsidR="00DF4B63" w:rsidRPr="000D26E8" w:rsidRDefault="00DF4B63" w:rsidP="00DF4B63">
      <w:pPr>
        <w:pStyle w:val="Heading3"/>
        <w:spacing w:before="120" w:after="0" w:line="264" w:lineRule="auto"/>
        <w:rPr>
          <w:rFonts w:ascii="Times New Roman" w:hAnsi="Times New Roman"/>
          <w:sz w:val="25"/>
        </w:rPr>
      </w:pPr>
      <w:bookmarkStart w:id="31" w:name="dieu_289"/>
      <w:bookmarkStart w:id="32" w:name="_Toc71533370"/>
      <w:bookmarkStart w:id="33" w:name="_Toc72054568"/>
      <w:bookmarkStart w:id="34" w:name="_Toc98406761"/>
      <w:bookmarkStart w:id="35" w:name="_Toc160529408"/>
      <w:r w:rsidRPr="000D26E8">
        <w:rPr>
          <w:rFonts w:ascii="Times New Roman" w:hAnsi="Times New Roman"/>
          <w:sz w:val="25"/>
        </w:rPr>
        <w:t>Điều 289.</w:t>
      </w:r>
      <w:bookmarkEnd w:id="31"/>
      <w:r w:rsidRPr="000D26E8">
        <w:rPr>
          <w:rFonts w:ascii="Times New Roman" w:hAnsi="Times New Roman"/>
          <w:sz w:val="25"/>
        </w:rPr>
        <w:t xml:space="preserve"> </w:t>
      </w:r>
      <w:bookmarkStart w:id="36" w:name="dieu_289_name"/>
      <w:r w:rsidRPr="000D26E8">
        <w:rPr>
          <w:rFonts w:ascii="Times New Roman" w:hAnsi="Times New Roman"/>
          <w:sz w:val="25"/>
        </w:rPr>
        <w:t>Nghĩa vụ của thương nhân nhận quyền</w:t>
      </w:r>
      <w:bookmarkEnd w:id="32"/>
      <w:bookmarkEnd w:id="33"/>
      <w:bookmarkEnd w:id="34"/>
      <w:bookmarkEnd w:id="35"/>
      <w:bookmarkEnd w:id="36"/>
    </w:p>
    <w:p w:rsidR="00DF4B63" w:rsidRPr="000D26E8" w:rsidRDefault="00DF4B63" w:rsidP="00DF4B63">
      <w:pPr>
        <w:rPr>
          <w:rFonts w:cs="Arial"/>
          <w:szCs w:val="21"/>
        </w:rPr>
      </w:pPr>
      <w:r w:rsidRPr="000D26E8">
        <w:rPr>
          <w:rFonts w:cs="Arial"/>
          <w:color w:val="000000"/>
          <w:szCs w:val="21"/>
        </w:rPr>
        <w:t>Trừ trường hợp có thỏa thuận khác, thương nhân nhận quyền có các nghĩa vụ sau đây:</w:t>
      </w:r>
    </w:p>
    <w:p w:rsidR="00DF4B63" w:rsidRPr="000D26E8" w:rsidRDefault="00DF4B63" w:rsidP="00DF4B63">
      <w:pPr>
        <w:rPr>
          <w:rFonts w:cs="Arial"/>
          <w:szCs w:val="21"/>
        </w:rPr>
      </w:pPr>
      <w:r w:rsidRPr="000D26E8">
        <w:rPr>
          <w:rFonts w:cs="Arial"/>
          <w:color w:val="000000"/>
          <w:szCs w:val="21"/>
        </w:rPr>
        <w:t>1. Trả tiền nhượng quyền và các khoản thanh toán khác theo hợp đồng nhượng quyền thương mại;</w:t>
      </w:r>
    </w:p>
    <w:p w:rsidR="00DF4B63" w:rsidRPr="000D26E8" w:rsidRDefault="00DF4B63" w:rsidP="00DF4B63">
      <w:pPr>
        <w:rPr>
          <w:rFonts w:cs="Arial"/>
          <w:szCs w:val="21"/>
        </w:rPr>
      </w:pPr>
      <w:r w:rsidRPr="000D26E8">
        <w:rPr>
          <w:rFonts w:cs="Arial"/>
          <w:color w:val="000000"/>
          <w:szCs w:val="21"/>
        </w:rPr>
        <w:lastRenderedPageBreak/>
        <w:t>2. Đầu tư đủ cơ sở vật chất, nguồn tài chính và nhân lực để tiếp nhận các quyền và bí quyết kinh doanh mà bên nhượng quyền chuyển giao;</w:t>
      </w:r>
    </w:p>
    <w:p w:rsidR="00DF4B63" w:rsidRPr="000D26E8" w:rsidRDefault="00DF4B63" w:rsidP="00DF4B63">
      <w:pPr>
        <w:rPr>
          <w:rFonts w:cs="Arial"/>
          <w:szCs w:val="21"/>
        </w:rPr>
      </w:pPr>
      <w:r w:rsidRPr="000D26E8">
        <w:rPr>
          <w:rFonts w:cs="Arial"/>
          <w:color w:val="000000"/>
          <w:szCs w:val="21"/>
        </w:rPr>
        <w:t>3. Chấp nhận sự kiểm soát, giám sát và hướng dẫn của bên nhượng quyền; tuân thủ các yêu cầu về thiết kế, sắp xếp địa điểm bán hàng, cung ứng dịch vụ của thương nhân nhượng quyền;</w:t>
      </w:r>
    </w:p>
    <w:p w:rsidR="00DF4B63" w:rsidRPr="000D26E8" w:rsidRDefault="00DF4B63" w:rsidP="00DF4B63">
      <w:pPr>
        <w:rPr>
          <w:rFonts w:cs="Arial"/>
          <w:szCs w:val="21"/>
        </w:rPr>
      </w:pPr>
      <w:r w:rsidRPr="000D26E8">
        <w:rPr>
          <w:rFonts w:cs="Arial"/>
          <w:color w:val="000000"/>
          <w:szCs w:val="21"/>
        </w:rPr>
        <w:t>4. Giữ bí mật về bí quyết kinh doanh đã được nhượng quyền, kể cả sau khi hợp đồng nhượng quyền thương mại kết thúc hoặc chấm dứt;</w:t>
      </w:r>
    </w:p>
    <w:p w:rsidR="00DF4B63" w:rsidRPr="000D26E8" w:rsidRDefault="00DF4B63" w:rsidP="00DF4B63">
      <w:pPr>
        <w:rPr>
          <w:rFonts w:cs="Arial"/>
          <w:szCs w:val="21"/>
        </w:rPr>
      </w:pPr>
      <w:r w:rsidRPr="000D26E8">
        <w:rPr>
          <w:rFonts w:cs="Arial"/>
          <w:color w:val="000000"/>
          <w:szCs w:val="21"/>
        </w:rPr>
        <w:t>5. Ngừng sử dụng nhãn hiệu hàng hoá, tên thương mại, khẩu hiệu kinh doanh, biểu tượng kinh doanh và các quyền sở hữu trí tuệ khác (nếu có) hoặc hệ thống của bên nhượng quyền khi kết thúc hoặc chấm dứt hợp đồng nhượng quyền thương mại;</w:t>
      </w:r>
    </w:p>
    <w:p w:rsidR="00DF4B63" w:rsidRPr="000D26E8" w:rsidRDefault="00DF4B63" w:rsidP="00DF4B63">
      <w:pPr>
        <w:rPr>
          <w:rFonts w:cs="Arial"/>
          <w:szCs w:val="21"/>
        </w:rPr>
      </w:pPr>
      <w:r w:rsidRPr="000D26E8">
        <w:rPr>
          <w:rFonts w:cs="Arial"/>
          <w:color w:val="000000"/>
          <w:szCs w:val="21"/>
        </w:rPr>
        <w:t>6. Điều hành hoạt động phù hợp với hệ thống nhượng quyền thương mại;</w:t>
      </w:r>
    </w:p>
    <w:p w:rsidR="00DF4B63" w:rsidRPr="000D26E8" w:rsidRDefault="00DF4B63" w:rsidP="00DF4B63">
      <w:pPr>
        <w:rPr>
          <w:rFonts w:cs="Arial"/>
          <w:szCs w:val="21"/>
        </w:rPr>
      </w:pPr>
      <w:r w:rsidRPr="000D26E8">
        <w:rPr>
          <w:rFonts w:cs="Arial"/>
          <w:color w:val="000000"/>
          <w:szCs w:val="21"/>
        </w:rPr>
        <w:t>7. Không được nhượng quyền lại trong trường hợp không có sự chấp thuận của bên nhượng quyền.</w:t>
      </w:r>
    </w:p>
    <w:p w:rsidR="00DF4B63" w:rsidRPr="000D26E8" w:rsidRDefault="00DF4B63" w:rsidP="00DF4B63">
      <w:pPr>
        <w:pStyle w:val="Heading3"/>
        <w:spacing w:before="120" w:after="0" w:line="264" w:lineRule="auto"/>
        <w:rPr>
          <w:rFonts w:ascii="Times New Roman" w:hAnsi="Times New Roman"/>
          <w:sz w:val="25"/>
        </w:rPr>
      </w:pPr>
      <w:bookmarkStart w:id="37" w:name="dieu_290"/>
      <w:bookmarkStart w:id="38" w:name="_Toc71533371"/>
      <w:bookmarkStart w:id="39" w:name="_Toc72054569"/>
      <w:bookmarkStart w:id="40" w:name="_Toc98406762"/>
      <w:bookmarkStart w:id="41" w:name="_Toc160529409"/>
      <w:r w:rsidRPr="000D26E8">
        <w:rPr>
          <w:rFonts w:ascii="Times New Roman" w:hAnsi="Times New Roman"/>
          <w:sz w:val="25"/>
        </w:rPr>
        <w:t>Điều 290.</w:t>
      </w:r>
      <w:bookmarkEnd w:id="37"/>
      <w:r w:rsidRPr="000D26E8">
        <w:rPr>
          <w:rFonts w:ascii="Times New Roman" w:hAnsi="Times New Roman"/>
          <w:sz w:val="25"/>
        </w:rPr>
        <w:t xml:space="preserve"> </w:t>
      </w:r>
      <w:bookmarkStart w:id="42" w:name="dieu_290_name"/>
      <w:r w:rsidRPr="000D26E8">
        <w:rPr>
          <w:rFonts w:ascii="Times New Roman" w:hAnsi="Times New Roman"/>
          <w:sz w:val="25"/>
        </w:rPr>
        <w:t>Nhượng quyền lại cho bên thứ ba</w:t>
      </w:r>
      <w:bookmarkEnd w:id="38"/>
      <w:bookmarkEnd w:id="39"/>
      <w:bookmarkEnd w:id="40"/>
      <w:bookmarkEnd w:id="41"/>
      <w:bookmarkEnd w:id="42"/>
    </w:p>
    <w:p w:rsidR="00DF4B63" w:rsidRPr="000D26E8" w:rsidRDefault="00DF4B63" w:rsidP="00DF4B63">
      <w:pPr>
        <w:rPr>
          <w:rFonts w:cs="Arial"/>
          <w:szCs w:val="21"/>
        </w:rPr>
      </w:pPr>
      <w:r w:rsidRPr="000D26E8">
        <w:rPr>
          <w:rFonts w:cs="Arial"/>
          <w:color w:val="000000"/>
          <w:szCs w:val="21"/>
        </w:rPr>
        <w:t>1. Bên nhận quyền có quyền nhượng quyền lại cho bên thứ ba (gọi là bên nhận lại quyền) nếu được sự chấp thuận của bên nhượng quyền.</w:t>
      </w:r>
    </w:p>
    <w:p w:rsidR="00DF4B63" w:rsidRPr="000D26E8" w:rsidRDefault="00DF4B63" w:rsidP="00DF4B63">
      <w:pPr>
        <w:rPr>
          <w:rFonts w:cs="Arial"/>
          <w:szCs w:val="21"/>
        </w:rPr>
      </w:pPr>
      <w:r w:rsidRPr="000D26E8">
        <w:rPr>
          <w:rFonts w:cs="Arial"/>
          <w:color w:val="000000"/>
          <w:szCs w:val="21"/>
        </w:rPr>
        <w:t>2. Bên nhận lại quyền có các quyền và nghĩa vụ của bên nhận quyền quy định tại Điều 288 và Điều 289 của Luật này.</w:t>
      </w:r>
    </w:p>
    <w:p w:rsidR="00DF4B63" w:rsidRPr="000D26E8" w:rsidRDefault="00DF4B63" w:rsidP="00DF4B63">
      <w:pPr>
        <w:pStyle w:val="Heading3"/>
        <w:spacing w:before="120" w:after="0" w:line="264" w:lineRule="auto"/>
        <w:rPr>
          <w:rFonts w:ascii="Times New Roman" w:hAnsi="Times New Roman"/>
          <w:sz w:val="25"/>
        </w:rPr>
      </w:pPr>
      <w:bookmarkStart w:id="43" w:name="dieu_291"/>
      <w:bookmarkStart w:id="44" w:name="_Toc71533372"/>
      <w:bookmarkStart w:id="45" w:name="_Toc72054570"/>
      <w:bookmarkStart w:id="46" w:name="_Toc98406763"/>
      <w:bookmarkStart w:id="47" w:name="_Toc160529410"/>
      <w:r w:rsidRPr="000D26E8">
        <w:rPr>
          <w:rFonts w:ascii="Times New Roman" w:hAnsi="Times New Roman"/>
          <w:sz w:val="25"/>
        </w:rPr>
        <w:t>Điều 291.</w:t>
      </w:r>
      <w:bookmarkEnd w:id="43"/>
      <w:r w:rsidRPr="000D26E8">
        <w:rPr>
          <w:rFonts w:ascii="Times New Roman" w:hAnsi="Times New Roman"/>
          <w:sz w:val="25"/>
        </w:rPr>
        <w:t xml:space="preserve"> </w:t>
      </w:r>
      <w:bookmarkStart w:id="48" w:name="dieu_291_name"/>
      <w:r w:rsidRPr="000D26E8">
        <w:rPr>
          <w:rFonts w:ascii="Times New Roman" w:hAnsi="Times New Roman"/>
          <w:sz w:val="25"/>
        </w:rPr>
        <w:t>Đăng ký nhượng quyền thương mại</w:t>
      </w:r>
      <w:bookmarkEnd w:id="44"/>
      <w:bookmarkEnd w:id="45"/>
      <w:bookmarkEnd w:id="46"/>
      <w:bookmarkEnd w:id="47"/>
      <w:bookmarkEnd w:id="48"/>
    </w:p>
    <w:p w:rsidR="00DF4B63" w:rsidRPr="000D26E8" w:rsidRDefault="00DF4B63" w:rsidP="00DF4B63">
      <w:pPr>
        <w:rPr>
          <w:rFonts w:cs="Arial"/>
          <w:szCs w:val="21"/>
        </w:rPr>
      </w:pPr>
      <w:r w:rsidRPr="000D26E8">
        <w:rPr>
          <w:rFonts w:cs="Arial"/>
          <w:color w:val="000000"/>
          <w:szCs w:val="21"/>
        </w:rPr>
        <w:t>1. Trước khi nhượng quyền thương mại, bên dự kiến nhượng quyền phải đăng ký với Bộ Thương mại.</w:t>
      </w:r>
    </w:p>
    <w:p w:rsidR="00585F99" w:rsidRDefault="00DF4B63" w:rsidP="0096760A">
      <w:pPr>
        <w:rPr>
          <w:rFonts w:cs="Arial"/>
          <w:color w:val="000000"/>
          <w:szCs w:val="21"/>
        </w:rPr>
      </w:pPr>
      <w:r w:rsidRPr="000D26E8">
        <w:rPr>
          <w:rFonts w:cs="Arial"/>
          <w:color w:val="000000"/>
          <w:szCs w:val="21"/>
        </w:rPr>
        <w:t>2. Chính phủ quy định chi tiết điều kiện kinh doanh theo phương thức nhượng quyền thương mại và trình tự, thủ tục đăng ký nhượng quyền thương mại.</w:t>
      </w:r>
    </w:p>
    <w:p w:rsidR="009C6E9E" w:rsidRPr="008763D5" w:rsidRDefault="009C6E9E" w:rsidP="009C6E9E">
      <w:pPr>
        <w:jc w:val="center"/>
        <w:rPr>
          <w:rFonts w:cs="Arial"/>
          <w:b/>
          <w:iCs/>
          <w:szCs w:val="21"/>
          <w:lang w:val="vi-VN"/>
        </w:rPr>
      </w:pPr>
      <w:r w:rsidRPr="008763D5">
        <w:rPr>
          <w:rFonts w:cs="Arial"/>
          <w:b/>
          <w:iCs/>
          <w:szCs w:val="21"/>
          <w:lang w:val="vi-VN"/>
        </w:rPr>
        <w:t xml:space="preserve">NĐ </w:t>
      </w:r>
      <w:r w:rsidRPr="008763D5">
        <w:rPr>
          <w:rFonts w:cs="Arial"/>
          <w:b/>
          <w:szCs w:val="21"/>
          <w:lang w:val="vi-VN"/>
        </w:rPr>
        <w:t>35/2006/NĐ-CP (sửa bởi VBHN 15/BCT 2015</w:t>
      </w:r>
      <w:r>
        <w:rPr>
          <w:rFonts w:cs="Arial"/>
          <w:b/>
          <w:szCs w:val="21"/>
        </w:rPr>
        <w:t>, NĐ 08/2018/NĐ-CP</w:t>
      </w:r>
      <w:r w:rsidRPr="008763D5">
        <w:rPr>
          <w:rFonts w:cs="Arial"/>
          <w:b/>
          <w:szCs w:val="21"/>
          <w:lang w:val="vi-VN"/>
        </w:rPr>
        <w:t>) về Nhượng quyền thương mại</w:t>
      </w:r>
    </w:p>
    <w:p w:rsidR="009C6E9E" w:rsidRPr="008763D5" w:rsidRDefault="009C6E9E" w:rsidP="009C6E9E">
      <w:pPr>
        <w:pStyle w:val="Heading3"/>
        <w:spacing w:before="120" w:after="0" w:line="264" w:lineRule="auto"/>
        <w:rPr>
          <w:rFonts w:ascii="Times New Roman" w:hAnsi="Times New Roman"/>
          <w:sz w:val="25"/>
          <w:lang w:val="vi-VN"/>
        </w:rPr>
      </w:pPr>
      <w:bookmarkStart w:id="49" w:name="dieu_17"/>
      <w:bookmarkStart w:id="50" w:name="_Toc71534178"/>
      <w:bookmarkStart w:id="51" w:name="_Toc72045344"/>
      <w:bookmarkStart w:id="52" w:name="_Toc99031876"/>
      <w:bookmarkStart w:id="53" w:name="_Toc159237276"/>
      <w:bookmarkStart w:id="54" w:name="_Toc159237375"/>
      <w:r w:rsidRPr="008763D5">
        <w:rPr>
          <w:rFonts w:ascii="Times New Roman" w:hAnsi="Times New Roman"/>
          <w:sz w:val="25"/>
          <w:lang w:val="vi-VN"/>
        </w:rPr>
        <w:t>Điều 17. Đăng ký hoạt động nhượng quyền thương mại</w:t>
      </w:r>
      <w:bookmarkEnd w:id="49"/>
      <w:bookmarkEnd w:id="50"/>
      <w:bookmarkEnd w:id="51"/>
      <w:bookmarkEnd w:id="52"/>
      <w:bookmarkEnd w:id="53"/>
      <w:bookmarkEnd w:id="54"/>
    </w:p>
    <w:p w:rsidR="009C6E9E" w:rsidRPr="008763D5" w:rsidRDefault="009C6E9E" w:rsidP="009C6E9E">
      <w:pPr>
        <w:rPr>
          <w:rFonts w:cs="Arial"/>
          <w:szCs w:val="21"/>
          <w:lang w:val="vi-VN"/>
        </w:rPr>
      </w:pPr>
      <w:r w:rsidRPr="008763D5">
        <w:rPr>
          <w:rFonts w:cs="Arial"/>
          <w:szCs w:val="21"/>
          <w:lang w:val="vi-VN"/>
        </w:rPr>
        <w:t>1. Trước khi tiến hành hoạt động nhượng quyền thương mại, thương nhân Việt Nam hoặc thương nhân nước ngoài dự kiến nhượng quyền phải đăng ký hoạt động nhượng quyền thương mại với cơ quan có thẩm quyền theo quy định tại Nghị định này.</w:t>
      </w:r>
    </w:p>
    <w:p w:rsidR="009C6E9E" w:rsidRPr="008763D5" w:rsidRDefault="009C6E9E" w:rsidP="009C6E9E">
      <w:pPr>
        <w:rPr>
          <w:rFonts w:cs="Arial"/>
          <w:szCs w:val="21"/>
          <w:lang w:val="vi-VN"/>
        </w:rPr>
      </w:pPr>
      <w:r w:rsidRPr="008763D5">
        <w:rPr>
          <w:rFonts w:cs="Arial"/>
          <w:szCs w:val="21"/>
          <w:lang w:val="vi-VN"/>
        </w:rPr>
        <w:t>2. Cơ quan có thẩm quyền đăng ký hoạt động nhượng quyền thương mại có trách nhiệm đăng ký hoạt động nhượng quyền thương mại của thương nhân vào Sổ đăng ký hoạt động nhượng quyền thương mại và thông báo bằng văn bản cho thương nhân về việc đăng ký đó.</w:t>
      </w:r>
    </w:p>
    <w:p w:rsidR="009C6E9E" w:rsidRPr="008763D5" w:rsidRDefault="009C6E9E" w:rsidP="009C6E9E">
      <w:pPr>
        <w:pStyle w:val="Heading3"/>
        <w:spacing w:before="120" w:after="0" w:line="264" w:lineRule="auto"/>
        <w:rPr>
          <w:rFonts w:ascii="Times New Roman" w:hAnsi="Times New Roman"/>
          <w:sz w:val="25"/>
          <w:lang w:val="vi-VN"/>
        </w:rPr>
      </w:pPr>
      <w:bookmarkStart w:id="55" w:name="dieu_17_1"/>
      <w:bookmarkStart w:id="56" w:name="_Toc71534179"/>
      <w:bookmarkStart w:id="57" w:name="_Toc72045345"/>
      <w:bookmarkStart w:id="58" w:name="_Toc99031877"/>
      <w:bookmarkStart w:id="59" w:name="_Toc159237277"/>
      <w:bookmarkStart w:id="60" w:name="_Toc159237376"/>
      <w:r w:rsidRPr="008763D5">
        <w:rPr>
          <w:rFonts w:ascii="Times New Roman" w:hAnsi="Times New Roman"/>
          <w:sz w:val="25"/>
          <w:lang w:val="vi-VN"/>
        </w:rPr>
        <w:t>Điều 17a. Các trường hợp không phải đăng ký nhượng quyền</w:t>
      </w:r>
      <w:bookmarkEnd w:id="55"/>
      <w:r w:rsidRPr="008763D5">
        <w:rPr>
          <w:rFonts w:ascii="Times New Roman" w:hAnsi="Times New Roman"/>
          <w:sz w:val="25"/>
        </w:rPr>
        <w:fldChar w:fldCharType="begin"/>
      </w:r>
      <w:r w:rsidRPr="008763D5">
        <w:rPr>
          <w:rFonts w:ascii="Times New Roman" w:hAnsi="Times New Roman"/>
          <w:sz w:val="25"/>
          <w:lang w:val="vi-VN"/>
        </w:rPr>
        <w:instrText xml:space="preserve"> HYPERLINK \l "_ftn3" </w:instrText>
      </w:r>
      <w:r w:rsidRPr="008763D5">
        <w:rPr>
          <w:rFonts w:ascii="Times New Roman" w:hAnsi="Times New Roman"/>
          <w:sz w:val="25"/>
        </w:rPr>
        <w:fldChar w:fldCharType="separate"/>
      </w:r>
      <w:r w:rsidRPr="008763D5">
        <w:rPr>
          <w:rFonts w:ascii="Times New Roman" w:hAnsi="Times New Roman"/>
          <w:sz w:val="25"/>
          <w:vertAlign w:val="superscript"/>
          <w:lang w:val="vi-VN"/>
        </w:rPr>
        <w:t>[3]</w:t>
      </w:r>
      <w:bookmarkEnd w:id="56"/>
      <w:bookmarkEnd w:id="57"/>
      <w:bookmarkEnd w:id="58"/>
      <w:bookmarkEnd w:id="59"/>
      <w:bookmarkEnd w:id="60"/>
      <w:r w:rsidRPr="008763D5">
        <w:rPr>
          <w:rFonts w:ascii="Times New Roman" w:hAnsi="Times New Roman"/>
          <w:sz w:val="25"/>
        </w:rPr>
        <w:fldChar w:fldCharType="end"/>
      </w:r>
    </w:p>
    <w:p w:rsidR="009C6E9E" w:rsidRPr="008763D5" w:rsidRDefault="009C6E9E" w:rsidP="009C6E9E">
      <w:pPr>
        <w:rPr>
          <w:rFonts w:cs="Arial"/>
          <w:szCs w:val="21"/>
          <w:lang w:val="vi-VN"/>
        </w:rPr>
      </w:pPr>
      <w:r w:rsidRPr="008763D5">
        <w:rPr>
          <w:rFonts w:cs="Arial"/>
          <w:szCs w:val="21"/>
          <w:lang w:val="vi-VN"/>
        </w:rPr>
        <w:t>1. Các trường hợp sau không phải đăng ký nhượng quyền:</w:t>
      </w:r>
    </w:p>
    <w:p w:rsidR="009C6E9E" w:rsidRPr="008763D5" w:rsidRDefault="009C6E9E" w:rsidP="009C6E9E">
      <w:pPr>
        <w:rPr>
          <w:rFonts w:cs="Arial"/>
          <w:szCs w:val="21"/>
        </w:rPr>
      </w:pPr>
      <w:r w:rsidRPr="008763D5">
        <w:rPr>
          <w:rFonts w:cs="Arial"/>
          <w:szCs w:val="21"/>
        </w:rPr>
        <w:t>a) Nhượng quyền trong nước;</w:t>
      </w:r>
    </w:p>
    <w:p w:rsidR="009C6E9E" w:rsidRPr="008763D5" w:rsidRDefault="009C6E9E" w:rsidP="009C6E9E">
      <w:pPr>
        <w:rPr>
          <w:rFonts w:cs="Arial"/>
          <w:szCs w:val="21"/>
        </w:rPr>
      </w:pPr>
      <w:r w:rsidRPr="008763D5">
        <w:rPr>
          <w:rFonts w:cs="Arial"/>
          <w:szCs w:val="21"/>
        </w:rPr>
        <w:t>b) Nhượng quyền thương mại từ Việt Nam ra nước ngoài.</w:t>
      </w:r>
    </w:p>
    <w:p w:rsidR="009C6E9E" w:rsidRPr="008763D5" w:rsidRDefault="009C6E9E" w:rsidP="009C6E9E">
      <w:pPr>
        <w:rPr>
          <w:rFonts w:cs="Arial"/>
          <w:szCs w:val="21"/>
        </w:rPr>
      </w:pPr>
      <w:r w:rsidRPr="008763D5">
        <w:rPr>
          <w:rFonts w:cs="Arial"/>
          <w:szCs w:val="21"/>
        </w:rPr>
        <w:t>2. Đối với các trường hợp không phải đăng ký nhượng quyền phải thực hiện chế độ báo cáo Sở Công Thương.</w:t>
      </w:r>
    </w:p>
    <w:p w:rsidR="009C6E9E" w:rsidRPr="009C6E9E" w:rsidRDefault="009C6E9E" w:rsidP="0096760A">
      <w:pPr>
        <w:rPr>
          <w:rFonts w:cs="Arial"/>
          <w:szCs w:val="21"/>
        </w:rPr>
      </w:pPr>
      <w:bookmarkStart w:id="61" w:name="_GoBack"/>
      <w:bookmarkEnd w:id="61"/>
    </w:p>
    <w:sectPr w:rsidR="009C6E9E" w:rsidRPr="009C6E9E" w:rsidSect="00DF4B63">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61002A87" w:usb1="80000000" w:usb2="00000008" w:usb3="00000000" w:csb0="000101FF" w:csb1="00000000"/>
  </w:font>
  <w:font w:name="Arial">
    <w:panose1 w:val="020B0604020202020204"/>
    <w:charset w:val="A3"/>
    <w:family w:val="swiss"/>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5"/>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B63"/>
    <w:rsid w:val="000B75A7"/>
    <w:rsid w:val="00167276"/>
    <w:rsid w:val="00174058"/>
    <w:rsid w:val="001815E6"/>
    <w:rsid w:val="00585F99"/>
    <w:rsid w:val="00783488"/>
    <w:rsid w:val="0096760A"/>
    <w:rsid w:val="009C6E9E"/>
    <w:rsid w:val="00AA7D54"/>
    <w:rsid w:val="00C52632"/>
    <w:rsid w:val="00D651F7"/>
    <w:rsid w:val="00DF4B63"/>
    <w:rsid w:val="00E67934"/>
    <w:rsid w:val="00F00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heme="minorBidi"/>
        <w:sz w:val="25"/>
        <w:szCs w:val="22"/>
        <w:lang w:val="en-US" w:eastAsia="en-US" w:bidi="ar-SA"/>
      </w:rPr>
    </w:rPrDefault>
    <w:pPrDefault>
      <w:pPr>
        <w:spacing w:before="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szCs w:val="20"/>
    </w:rPr>
  </w:style>
  <w:style w:type="paragraph" w:styleId="Heading1">
    <w:name w:val="heading 1"/>
    <w:basedOn w:val="Normal"/>
    <w:next w:val="Normal"/>
    <w:link w:val="Heading1Char"/>
    <w:uiPriority w:val="99"/>
    <w:qFormat/>
    <w:rsid w:val="00DF4B63"/>
    <w:pPr>
      <w:keepNext/>
      <w:spacing w:before="240" w:after="60" w:line="240" w:lineRule="auto"/>
      <w:outlineLvl w:val="0"/>
    </w:pPr>
    <w:rPr>
      <w:rFonts w:ascii="Cambria" w:hAnsi="Cambria"/>
      <w:b/>
      <w:bCs/>
      <w:kern w:val="32"/>
      <w:sz w:val="32"/>
      <w:szCs w:val="32"/>
    </w:rPr>
  </w:style>
  <w:style w:type="paragraph" w:styleId="Heading3">
    <w:name w:val="heading 3"/>
    <w:basedOn w:val="Normal"/>
    <w:next w:val="Normal"/>
    <w:link w:val="Heading3Char"/>
    <w:uiPriority w:val="99"/>
    <w:unhideWhenUsed/>
    <w:qFormat/>
    <w:rsid w:val="00DF4B63"/>
    <w:pPr>
      <w:keepNext/>
      <w:spacing w:before="240" w:after="60" w:line="240" w:lineRule="auto"/>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4B63"/>
    <w:rPr>
      <w:rFonts w:ascii="Cambria" w:hAnsi="Cambria" w:cs="Times New Roman"/>
      <w:b/>
      <w:bCs/>
      <w:kern w:val="32"/>
      <w:sz w:val="32"/>
      <w:szCs w:val="32"/>
    </w:rPr>
  </w:style>
  <w:style w:type="character" w:customStyle="1" w:styleId="Heading3Char">
    <w:name w:val="Heading 3 Char"/>
    <w:basedOn w:val="DefaultParagraphFont"/>
    <w:link w:val="Heading3"/>
    <w:uiPriority w:val="99"/>
    <w:rsid w:val="00DF4B63"/>
    <w:rPr>
      <w:rFonts w:ascii="Cambria" w:hAnsi="Cambria" w:cs="Times New Roman"/>
      <w:b/>
      <w:bCs/>
      <w:sz w:val="26"/>
      <w:szCs w:val="26"/>
    </w:rPr>
  </w:style>
  <w:style w:type="paragraph" w:styleId="TOCHeading">
    <w:name w:val="TOC Heading"/>
    <w:basedOn w:val="Heading1"/>
    <w:next w:val="Normal"/>
    <w:uiPriority w:val="39"/>
    <w:semiHidden/>
    <w:unhideWhenUsed/>
    <w:qFormat/>
    <w:rsid w:val="00DF4B63"/>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DF4B63"/>
    <w:pPr>
      <w:spacing w:after="100"/>
    </w:pPr>
  </w:style>
  <w:style w:type="paragraph" w:styleId="TOC3">
    <w:name w:val="toc 3"/>
    <w:basedOn w:val="Normal"/>
    <w:next w:val="Normal"/>
    <w:autoRedefine/>
    <w:uiPriority w:val="39"/>
    <w:unhideWhenUsed/>
    <w:rsid w:val="00DF4B63"/>
    <w:pPr>
      <w:spacing w:after="100"/>
      <w:ind w:left="500"/>
    </w:pPr>
  </w:style>
  <w:style w:type="character" w:styleId="Hyperlink">
    <w:name w:val="Hyperlink"/>
    <w:basedOn w:val="DefaultParagraphFont"/>
    <w:uiPriority w:val="99"/>
    <w:unhideWhenUsed/>
    <w:rsid w:val="00DF4B63"/>
    <w:rPr>
      <w:color w:val="0000FF" w:themeColor="hyperlink"/>
      <w:u w:val="single"/>
    </w:rPr>
  </w:style>
  <w:style w:type="paragraph" w:styleId="BalloonText">
    <w:name w:val="Balloon Text"/>
    <w:basedOn w:val="Normal"/>
    <w:link w:val="BalloonTextChar"/>
    <w:uiPriority w:val="99"/>
    <w:semiHidden/>
    <w:unhideWhenUsed/>
    <w:rsid w:val="00DF4B6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B63"/>
    <w:rPr>
      <w:rFonts w:ascii="Tahoma" w:hAnsi="Tahoma" w:cs="Tahoma"/>
      <w:sz w:val="16"/>
      <w:szCs w:val="16"/>
    </w:rPr>
  </w:style>
  <w:style w:type="character" w:styleId="FollowedHyperlink">
    <w:name w:val="FollowedHyperlink"/>
    <w:basedOn w:val="DefaultParagraphFont"/>
    <w:uiPriority w:val="99"/>
    <w:semiHidden/>
    <w:unhideWhenUsed/>
    <w:rsid w:val="00D651F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heme="minorBidi"/>
        <w:sz w:val="25"/>
        <w:szCs w:val="22"/>
        <w:lang w:val="en-US" w:eastAsia="en-US" w:bidi="ar-SA"/>
      </w:rPr>
    </w:rPrDefault>
    <w:pPrDefault>
      <w:pPr>
        <w:spacing w:before="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szCs w:val="20"/>
    </w:rPr>
  </w:style>
  <w:style w:type="paragraph" w:styleId="Heading1">
    <w:name w:val="heading 1"/>
    <w:basedOn w:val="Normal"/>
    <w:next w:val="Normal"/>
    <w:link w:val="Heading1Char"/>
    <w:uiPriority w:val="99"/>
    <w:qFormat/>
    <w:rsid w:val="00DF4B63"/>
    <w:pPr>
      <w:keepNext/>
      <w:spacing w:before="240" w:after="60" w:line="240" w:lineRule="auto"/>
      <w:outlineLvl w:val="0"/>
    </w:pPr>
    <w:rPr>
      <w:rFonts w:ascii="Cambria" w:hAnsi="Cambria"/>
      <w:b/>
      <w:bCs/>
      <w:kern w:val="32"/>
      <w:sz w:val="32"/>
      <w:szCs w:val="32"/>
    </w:rPr>
  </w:style>
  <w:style w:type="paragraph" w:styleId="Heading3">
    <w:name w:val="heading 3"/>
    <w:basedOn w:val="Normal"/>
    <w:next w:val="Normal"/>
    <w:link w:val="Heading3Char"/>
    <w:uiPriority w:val="99"/>
    <w:unhideWhenUsed/>
    <w:qFormat/>
    <w:rsid w:val="00DF4B63"/>
    <w:pPr>
      <w:keepNext/>
      <w:spacing w:before="240" w:after="60" w:line="240" w:lineRule="auto"/>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4B63"/>
    <w:rPr>
      <w:rFonts w:ascii="Cambria" w:hAnsi="Cambria" w:cs="Times New Roman"/>
      <w:b/>
      <w:bCs/>
      <w:kern w:val="32"/>
      <w:sz w:val="32"/>
      <w:szCs w:val="32"/>
    </w:rPr>
  </w:style>
  <w:style w:type="character" w:customStyle="1" w:styleId="Heading3Char">
    <w:name w:val="Heading 3 Char"/>
    <w:basedOn w:val="DefaultParagraphFont"/>
    <w:link w:val="Heading3"/>
    <w:uiPriority w:val="99"/>
    <w:rsid w:val="00DF4B63"/>
    <w:rPr>
      <w:rFonts w:ascii="Cambria" w:hAnsi="Cambria" w:cs="Times New Roman"/>
      <w:b/>
      <w:bCs/>
      <w:sz w:val="26"/>
      <w:szCs w:val="26"/>
    </w:rPr>
  </w:style>
  <w:style w:type="paragraph" w:styleId="TOCHeading">
    <w:name w:val="TOC Heading"/>
    <w:basedOn w:val="Heading1"/>
    <w:next w:val="Normal"/>
    <w:uiPriority w:val="39"/>
    <w:semiHidden/>
    <w:unhideWhenUsed/>
    <w:qFormat/>
    <w:rsid w:val="00DF4B63"/>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DF4B63"/>
    <w:pPr>
      <w:spacing w:after="100"/>
    </w:pPr>
  </w:style>
  <w:style w:type="paragraph" w:styleId="TOC3">
    <w:name w:val="toc 3"/>
    <w:basedOn w:val="Normal"/>
    <w:next w:val="Normal"/>
    <w:autoRedefine/>
    <w:uiPriority w:val="39"/>
    <w:unhideWhenUsed/>
    <w:rsid w:val="00DF4B63"/>
    <w:pPr>
      <w:spacing w:after="100"/>
      <w:ind w:left="500"/>
    </w:pPr>
  </w:style>
  <w:style w:type="character" w:styleId="Hyperlink">
    <w:name w:val="Hyperlink"/>
    <w:basedOn w:val="DefaultParagraphFont"/>
    <w:uiPriority w:val="99"/>
    <w:unhideWhenUsed/>
    <w:rsid w:val="00DF4B63"/>
    <w:rPr>
      <w:color w:val="0000FF" w:themeColor="hyperlink"/>
      <w:u w:val="single"/>
    </w:rPr>
  </w:style>
  <w:style w:type="paragraph" w:styleId="BalloonText">
    <w:name w:val="Balloon Text"/>
    <w:basedOn w:val="Normal"/>
    <w:link w:val="BalloonTextChar"/>
    <w:uiPriority w:val="99"/>
    <w:semiHidden/>
    <w:unhideWhenUsed/>
    <w:rsid w:val="00DF4B6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B63"/>
    <w:rPr>
      <w:rFonts w:ascii="Tahoma" w:hAnsi="Tahoma" w:cs="Tahoma"/>
      <w:sz w:val="16"/>
      <w:szCs w:val="16"/>
    </w:rPr>
  </w:style>
  <w:style w:type="character" w:styleId="FollowedHyperlink">
    <w:name w:val="FollowedHyperlink"/>
    <w:basedOn w:val="DefaultParagraphFont"/>
    <w:uiPriority w:val="99"/>
    <w:semiHidden/>
    <w:unhideWhenUsed/>
    <w:rsid w:val="00D651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5FCB2-891C-4966-8688-D62BC5110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725</Words>
  <Characters>4136</Characters>
  <Application>Microsoft Office Word</Application>
  <DocSecurity>0</DocSecurity>
  <Lines>34</Lines>
  <Paragraphs>9</Paragraphs>
  <ScaleCrop>false</ScaleCrop>
  <Company/>
  <LinksUpToDate>false</LinksUpToDate>
  <CharactersWithSpaces>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DAZPRO Luật sư . Lawyer</dc:creator>
  <cp:lastModifiedBy>DAZPRO Luật sư . Lawyer</cp:lastModifiedBy>
  <cp:revision>5</cp:revision>
  <dcterms:created xsi:type="dcterms:W3CDTF">2024-03-05T04:08:00Z</dcterms:created>
  <dcterms:modified xsi:type="dcterms:W3CDTF">2024-12-04T04:17:00Z</dcterms:modified>
</cp:coreProperties>
</file>